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40" w:rsidRDefault="009F7440" w:rsidP="009F7440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Учебная дисциплина «Зоология позвоночных»</w:t>
      </w:r>
    </w:p>
    <w:p w:rsidR="009F7440" w:rsidRDefault="009F7440" w:rsidP="009F7440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888"/>
      </w:tblGrid>
      <w:tr w:rsidR="009F7440" w:rsidRPr="0019369C" w:rsidTr="00F03B30">
        <w:tc>
          <w:tcPr>
            <w:tcW w:w="3794" w:type="dxa"/>
            <w:shd w:val="clear" w:color="auto" w:fill="auto"/>
          </w:tcPr>
          <w:p w:rsidR="009F7440" w:rsidRPr="0019369C" w:rsidRDefault="009F7440" w:rsidP="00F03B30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Место дисциплины</w:t>
            </w:r>
          </w:p>
          <w:p w:rsidR="009F7440" w:rsidRPr="0019369C" w:rsidRDefault="009F7440" w:rsidP="00F03B30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888" w:type="dxa"/>
            <w:shd w:val="clear" w:color="auto" w:fill="auto"/>
          </w:tcPr>
          <w:p w:rsidR="009F7440" w:rsidRPr="006D2511" w:rsidRDefault="009F7440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Образовательная программа </w:t>
            </w:r>
            <w:r>
              <w:rPr>
                <w:bCs/>
              </w:rPr>
              <w:t>бакалавриата</w:t>
            </w:r>
          </w:p>
          <w:p w:rsidR="009F7440" w:rsidRPr="006D2511" w:rsidRDefault="009F7440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 (</w:t>
            </w:r>
            <w:r w:rsidRPr="006D2511">
              <w:rPr>
                <w:bCs/>
                <w:lang w:val="en-US"/>
              </w:rPr>
              <w:t>I</w:t>
            </w:r>
            <w:r w:rsidRPr="006D2511">
              <w:rPr>
                <w:bCs/>
              </w:rPr>
              <w:t xml:space="preserve"> ступень высшего образования)</w:t>
            </w:r>
          </w:p>
          <w:p w:rsidR="009F7440" w:rsidRPr="006D2511" w:rsidRDefault="009F7440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Специальность: </w:t>
            </w:r>
            <w:r w:rsidRPr="00A74DA1">
              <w:rPr>
                <w:bCs/>
                <w:kern w:val="28"/>
                <w:szCs w:val="28"/>
              </w:rPr>
              <w:t xml:space="preserve">6-05-0113-03 </w:t>
            </w:r>
            <w:r>
              <w:rPr>
                <w:bCs/>
                <w:kern w:val="28"/>
                <w:szCs w:val="28"/>
              </w:rPr>
              <w:t>«</w:t>
            </w:r>
            <w:r w:rsidRPr="00A74DA1">
              <w:rPr>
                <w:bCs/>
                <w:kern w:val="28"/>
                <w:szCs w:val="28"/>
              </w:rPr>
              <w:t>Природоведческое образование (биология и химия)</w:t>
            </w:r>
            <w:r>
              <w:rPr>
                <w:bCs/>
                <w:kern w:val="28"/>
                <w:szCs w:val="28"/>
              </w:rPr>
              <w:t>»</w:t>
            </w:r>
          </w:p>
          <w:p w:rsidR="009F7440" w:rsidRPr="0019369C" w:rsidRDefault="009F7440" w:rsidP="009F744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Цикл дисциплин: </w:t>
            </w:r>
            <w:r>
              <w:t>государственный компонент</w:t>
            </w:r>
          </w:p>
        </w:tc>
      </w:tr>
      <w:tr w:rsidR="009F7440" w:rsidTr="00F03B30">
        <w:tc>
          <w:tcPr>
            <w:tcW w:w="3794" w:type="dxa"/>
            <w:shd w:val="clear" w:color="auto" w:fill="auto"/>
          </w:tcPr>
          <w:p w:rsidR="009F7440" w:rsidRPr="0019369C" w:rsidRDefault="009F7440" w:rsidP="00F03B3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9F7440" w:rsidRPr="0019369C" w:rsidRDefault="009F7440" w:rsidP="00F03B30">
            <w:pPr>
              <w:rPr>
                <w:b/>
              </w:rPr>
            </w:pPr>
          </w:p>
        </w:tc>
        <w:tc>
          <w:tcPr>
            <w:tcW w:w="6888" w:type="dxa"/>
            <w:shd w:val="clear" w:color="auto" w:fill="auto"/>
          </w:tcPr>
          <w:p w:rsidR="009F7440" w:rsidRPr="009F7440" w:rsidRDefault="009F7440" w:rsidP="00F03B30">
            <w:pPr>
              <w:pStyle w:val="5"/>
              <w:spacing w:before="0" w:after="0" w:line="260" w:lineRule="exact"/>
              <w:ind w:left="-57" w:right="-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Введение в зоологию позвоночных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Подтип Оболочники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Подтип Бесчерепные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Подтип Позвоночные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Круглоротые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Хрящевые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Надкласс Костные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Лопастепёрые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Лучепёрые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Подкласс Ганоидные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Подкласс Костистые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Надкласс Четвероногие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Земноводные, или Амфибии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Основные экологические группы современных амфибий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Экологические и морфофизиологические отличия анамний и амниот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Пресмыкающиеся, или Рептилии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Систематика класса Пресмыкающиеся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Птицы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Особенности размножения птиц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Современная система птиц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Класс Млекопитающие, или Звери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Основные экологические группы млекопитающих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9F74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Система класса и обзор современных групп млекопитающих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9F7440" w:rsidTr="00F03B30">
        <w:tc>
          <w:tcPr>
            <w:tcW w:w="3794" w:type="dxa"/>
            <w:shd w:val="clear" w:color="auto" w:fill="auto"/>
          </w:tcPr>
          <w:p w:rsidR="009F7440" w:rsidRPr="0019369C" w:rsidRDefault="009F7440" w:rsidP="00F03B3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888" w:type="dxa"/>
            <w:shd w:val="clear" w:color="auto" w:fill="auto"/>
          </w:tcPr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 xml:space="preserve">В результате изучения курса «Зоология позвоночных» </w:t>
            </w:r>
            <w:r w:rsidRPr="00540A73">
              <w:rPr>
                <w:b/>
              </w:rPr>
              <w:t xml:space="preserve">студенты должны </w:t>
            </w:r>
            <w:r w:rsidRPr="00540A73">
              <w:rPr>
                <w:b/>
                <w:bCs/>
              </w:rPr>
              <w:t>знать</w:t>
            </w:r>
            <w:r w:rsidRPr="00540A73">
              <w:t>: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особенности организации основных групп хордовых животных;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термины и понятия, позволяющие не только дать общую характеристику таксона, но и оценить уровень его организации, место в системе животного царства;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особенности индивидуального развития животных (онтогенез), необходимые для понимания исторического развития систематических групп (филогенез);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экологические ниши, занимаемые позвоночными животными разных групп, для правильного понимания их роли в природных сообществах и в практической деятельности человека.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  <w:rPr>
                <w:b/>
                <w:bCs/>
              </w:rPr>
            </w:pPr>
            <w:r w:rsidRPr="00540A73">
              <w:rPr>
                <w:b/>
              </w:rPr>
              <w:t>Студенты должен уметь</w:t>
            </w:r>
            <w:r w:rsidRPr="00540A73">
              <w:rPr>
                <w:b/>
                <w:bCs/>
              </w:rPr>
              <w:t>: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использовать полученные теоретические знания на практике и в экспериментальных исследованиях;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использовать полученные знания при прохождении смежных дисциплин и специальных курсов;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на лабораторных занятиях освоить разнообразные методы и приемы для изучения морфологии и анатомии позвоночных животных разных систематических групп;</w:t>
            </w:r>
          </w:p>
          <w:p w:rsidR="00540A73" w:rsidRPr="00540A73" w:rsidRDefault="00540A73" w:rsidP="00540A73">
            <w:pPr>
              <w:pStyle w:val="a3"/>
              <w:spacing w:before="0" w:after="0" w:line="260" w:lineRule="exact"/>
              <w:ind w:left="-57" w:right="-57"/>
            </w:pPr>
            <w:r w:rsidRPr="00540A73">
              <w:t>– освоить технику выполнения зоологического рисунка.</w:t>
            </w:r>
          </w:p>
          <w:p w:rsidR="00540A73" w:rsidRPr="00540A73" w:rsidRDefault="00540A73" w:rsidP="00540A73">
            <w:pPr>
              <w:pStyle w:val="Iauiue1"/>
              <w:numPr>
                <w:ilvl w:val="12"/>
                <w:numId w:val="0"/>
              </w:numPr>
              <w:spacing w:line="260" w:lineRule="exact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540A73">
              <w:rPr>
                <w:rFonts w:ascii="Times New Roman" w:hAnsi="Times New Roman"/>
                <w:b/>
                <w:sz w:val="24"/>
                <w:szCs w:val="24"/>
              </w:rPr>
              <w:t>Требования компетенциям:</w:t>
            </w:r>
          </w:p>
          <w:p w:rsidR="009F7440" w:rsidRPr="00540A73" w:rsidRDefault="00540A73" w:rsidP="00540A73">
            <w:pPr>
              <w:spacing w:line="260" w:lineRule="exact"/>
              <w:ind w:left="-57" w:right="-57"/>
              <w:rPr>
                <w:b/>
                <w:bCs/>
                <w:i/>
                <w:iCs/>
                <w:lang w:val="be-BY"/>
              </w:rPr>
            </w:pPr>
            <w:r w:rsidRPr="00540A73">
              <w:t>– владеть системой знаний о макро- и микроструктуре, физиологии, систематике, значении живых организмов в природных экосистемах и жизни человека для формирования научных представлений об их строении, жизнедеятельности и разнообразии.</w:t>
            </w:r>
          </w:p>
        </w:tc>
      </w:tr>
      <w:tr w:rsidR="009F7440" w:rsidTr="00F03B30">
        <w:tc>
          <w:tcPr>
            <w:tcW w:w="3794" w:type="dxa"/>
            <w:shd w:val="clear" w:color="auto" w:fill="auto"/>
          </w:tcPr>
          <w:p w:rsidR="009F7440" w:rsidRPr="0019369C" w:rsidRDefault="009F7440" w:rsidP="00F03B30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888" w:type="dxa"/>
            <w:shd w:val="clear" w:color="auto" w:fill="auto"/>
          </w:tcPr>
          <w:p w:rsidR="009F7440" w:rsidRPr="00407C5D" w:rsidRDefault="009F7440" w:rsidP="00540A73">
            <w:pPr>
              <w:spacing w:line="260" w:lineRule="exact"/>
              <w:ind w:left="-57" w:right="-57"/>
            </w:pPr>
            <w:r>
              <w:t>Зоология</w:t>
            </w:r>
            <w:r w:rsidR="00540A73">
              <w:t xml:space="preserve"> беспозвоночных</w:t>
            </w:r>
            <w:r>
              <w:t xml:space="preserve">, </w:t>
            </w:r>
            <w:r w:rsidR="00540A73">
              <w:t>Анатомия</w:t>
            </w:r>
            <w:r>
              <w:t xml:space="preserve">, </w:t>
            </w:r>
            <w:r w:rsidR="00540A73">
              <w:t>Цитология, Гистология с основами эмбриологии</w:t>
            </w:r>
            <w:r w:rsidR="00AF099E">
              <w:t>.</w:t>
            </w:r>
          </w:p>
        </w:tc>
      </w:tr>
      <w:tr w:rsidR="009F7440" w:rsidTr="00F03B30">
        <w:tc>
          <w:tcPr>
            <w:tcW w:w="3794" w:type="dxa"/>
            <w:shd w:val="clear" w:color="auto" w:fill="auto"/>
          </w:tcPr>
          <w:p w:rsidR="009F7440" w:rsidRPr="0019369C" w:rsidRDefault="009F7440" w:rsidP="00F03B3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888" w:type="dxa"/>
            <w:shd w:val="clear" w:color="auto" w:fill="auto"/>
          </w:tcPr>
          <w:p w:rsidR="009F7440" w:rsidRPr="00713BA8" w:rsidRDefault="00AF099E" w:rsidP="00F03B30">
            <w:pPr>
              <w:spacing w:line="260" w:lineRule="exact"/>
              <w:ind w:left="-57" w:right="-57"/>
            </w:pPr>
            <w:r>
              <w:rPr>
                <w:szCs w:val="28"/>
              </w:rPr>
              <w:t>108 часов</w:t>
            </w:r>
            <w:r w:rsidRPr="00F520F7">
              <w:rPr>
                <w:szCs w:val="28"/>
              </w:rPr>
              <w:t xml:space="preserve"> (</w:t>
            </w:r>
            <w:r>
              <w:rPr>
                <w:szCs w:val="28"/>
              </w:rPr>
              <w:t>3</w:t>
            </w:r>
            <w:r w:rsidRPr="00F520F7">
              <w:rPr>
                <w:szCs w:val="28"/>
              </w:rPr>
              <w:t xml:space="preserve"> зачетны</w:t>
            </w:r>
            <w:r>
              <w:rPr>
                <w:szCs w:val="28"/>
              </w:rPr>
              <w:t>е</w:t>
            </w:r>
            <w:r w:rsidRPr="00F520F7">
              <w:rPr>
                <w:szCs w:val="28"/>
              </w:rPr>
              <w:t xml:space="preserve"> единиц</w:t>
            </w:r>
            <w:r>
              <w:rPr>
                <w:szCs w:val="28"/>
              </w:rPr>
              <w:t>ы</w:t>
            </w:r>
            <w:r w:rsidRPr="00F520F7">
              <w:rPr>
                <w:szCs w:val="28"/>
              </w:rPr>
              <w:t xml:space="preserve">), в том числе </w:t>
            </w:r>
            <w:r>
              <w:rPr>
                <w:szCs w:val="28"/>
              </w:rPr>
              <w:t>70</w:t>
            </w:r>
            <w:r w:rsidRPr="00F520F7">
              <w:rPr>
                <w:szCs w:val="28"/>
              </w:rPr>
              <w:t xml:space="preserve"> аудиторных часов: </w:t>
            </w:r>
            <w:r>
              <w:rPr>
                <w:szCs w:val="28"/>
              </w:rPr>
              <w:t>16</w:t>
            </w:r>
            <w:r w:rsidRPr="00F520F7">
              <w:rPr>
                <w:szCs w:val="28"/>
              </w:rPr>
              <w:t xml:space="preserve"> часов </w:t>
            </w:r>
            <w:r w:rsidRPr="00C26DC7">
              <w:rPr>
                <w:szCs w:val="28"/>
              </w:rPr>
              <w:t>лекцио</w:t>
            </w:r>
            <w:r>
              <w:rPr>
                <w:szCs w:val="28"/>
              </w:rPr>
              <w:t>нных занятий</w:t>
            </w:r>
            <w:r w:rsidRPr="00BD58A1">
              <w:rPr>
                <w:szCs w:val="28"/>
              </w:rPr>
              <w:t xml:space="preserve"> (</w:t>
            </w:r>
            <w:r>
              <w:rPr>
                <w:szCs w:val="28"/>
              </w:rPr>
              <w:t>из них 2 часа – УСР), 36 часов лабораторных занятий, 18 часов практических занятий (из них 10 часов – УСР).</w:t>
            </w:r>
          </w:p>
        </w:tc>
      </w:tr>
      <w:tr w:rsidR="009F7440" w:rsidTr="00F03B30">
        <w:tc>
          <w:tcPr>
            <w:tcW w:w="3794" w:type="dxa"/>
            <w:shd w:val="clear" w:color="auto" w:fill="auto"/>
          </w:tcPr>
          <w:p w:rsidR="009F7440" w:rsidRPr="0019369C" w:rsidRDefault="009F7440" w:rsidP="00F03B3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888" w:type="dxa"/>
            <w:shd w:val="clear" w:color="auto" w:fill="auto"/>
          </w:tcPr>
          <w:p w:rsidR="00AF099E" w:rsidRPr="00AF099E" w:rsidRDefault="00AF099E" w:rsidP="00AF099E">
            <w:pPr>
              <w:spacing w:line="260" w:lineRule="exact"/>
              <w:ind w:left="-57" w:right="-57"/>
            </w:pPr>
            <w:r w:rsidRPr="00AF099E">
              <w:rPr>
                <w:bCs/>
                <w:iCs/>
              </w:rPr>
              <w:t>Текущая аттестация: контрольные работы</w:t>
            </w:r>
            <w:r>
              <w:rPr>
                <w:bCs/>
                <w:iCs/>
              </w:rPr>
              <w:t>.</w:t>
            </w:r>
            <w:r w:rsidRPr="00AF099E">
              <w:rPr>
                <w:bCs/>
                <w:iCs/>
              </w:rPr>
              <w:t xml:space="preserve"> </w:t>
            </w:r>
          </w:p>
          <w:p w:rsidR="009F7440" w:rsidRPr="00AF099E" w:rsidRDefault="00AF099E" w:rsidP="00AF099E">
            <w:pPr>
              <w:spacing w:line="260" w:lineRule="exact"/>
              <w:ind w:left="-57" w:right="-57"/>
            </w:pPr>
            <w:r w:rsidRPr="00AF099E">
              <w:t>Промежуточная аттестация: экзамен, 3-й семестр.</w:t>
            </w:r>
          </w:p>
        </w:tc>
      </w:tr>
    </w:tbl>
    <w:p w:rsidR="009F7440" w:rsidRDefault="009F7440" w:rsidP="009F7440"/>
    <w:p w:rsidR="00FA1CAC" w:rsidRDefault="00FA1CAC"/>
    <w:sectPr w:rsidR="00FA1CAC" w:rsidSect="00470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40"/>
    <w:rsid w:val="004E3556"/>
    <w:rsid w:val="00540A73"/>
    <w:rsid w:val="009F7440"/>
    <w:rsid w:val="00AF099E"/>
    <w:rsid w:val="00F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F74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F744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Style4">
    <w:name w:val="Style4"/>
    <w:basedOn w:val="a"/>
    <w:uiPriority w:val="99"/>
    <w:rsid w:val="009F744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9F744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9F74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9F7440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rsid w:val="00540A73"/>
    <w:pPr>
      <w:autoSpaceDE w:val="0"/>
      <w:autoSpaceDN w:val="0"/>
      <w:spacing w:before="100" w:after="100"/>
    </w:pPr>
  </w:style>
  <w:style w:type="paragraph" w:customStyle="1" w:styleId="Iauiue1">
    <w:name w:val="Iau?iue1"/>
    <w:qFormat/>
    <w:rsid w:val="00540A73"/>
    <w:pPr>
      <w:spacing w:after="0" w:line="240" w:lineRule="auto"/>
    </w:pPr>
    <w:rPr>
      <w:rFonts w:ascii="Futuris" w:eastAsia="Times New Roman" w:hAnsi="Futuris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F74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F744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Style4">
    <w:name w:val="Style4"/>
    <w:basedOn w:val="a"/>
    <w:uiPriority w:val="99"/>
    <w:rsid w:val="009F744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9F744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9F74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9F7440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rsid w:val="00540A73"/>
    <w:pPr>
      <w:autoSpaceDE w:val="0"/>
      <w:autoSpaceDN w:val="0"/>
      <w:spacing w:before="100" w:after="100"/>
    </w:pPr>
  </w:style>
  <w:style w:type="paragraph" w:customStyle="1" w:styleId="Iauiue1">
    <w:name w:val="Iau?iue1"/>
    <w:qFormat/>
    <w:rsid w:val="00540A73"/>
    <w:pPr>
      <w:spacing w:after="0" w:line="240" w:lineRule="auto"/>
    </w:pPr>
    <w:rPr>
      <w:rFonts w:ascii="Futuris" w:eastAsia="Times New Roman" w:hAnsi="Futuris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Darya Terebilenko</cp:lastModifiedBy>
  <cp:revision>2</cp:revision>
  <dcterms:created xsi:type="dcterms:W3CDTF">2025-10-31T11:24:00Z</dcterms:created>
  <dcterms:modified xsi:type="dcterms:W3CDTF">2025-10-31T11:24:00Z</dcterms:modified>
</cp:coreProperties>
</file>